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3A744" w14:textId="5B9712D1" w:rsidR="00B606B4" w:rsidRPr="008A37E7" w:rsidRDefault="00B606B4" w:rsidP="00B606B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#10</w:t>
      </w:r>
      <w:r>
        <w:rPr>
          <w:rFonts w:ascii="Arial" w:eastAsia="MS Mincho" w:hAnsi="Arial" w:cs="Arial"/>
          <w:b/>
          <w:bCs/>
          <w:sz w:val="22"/>
        </w:rPr>
        <w:t>4b</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Pr="00B606B4">
        <w:rPr>
          <w:rFonts w:ascii="Arial" w:eastAsia="MS Mincho" w:hAnsi="Arial" w:cs="Arial"/>
          <w:b/>
          <w:bCs/>
          <w:sz w:val="22"/>
        </w:rPr>
        <w:t>R1-2102927</w:t>
      </w:r>
    </w:p>
    <w:p w14:paraId="1BB4CDF9" w14:textId="68943E56"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Pr="00DD43D5">
        <w:rPr>
          <w:rFonts w:ascii="Arial" w:eastAsia="MS Mincho" w:hAnsi="Arial" w:cs="Arial"/>
          <w:b/>
          <w:bCs/>
          <w:sz w:val="22"/>
        </w:rPr>
        <w:t>April 12</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54EC466B"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w:t>
      </w:r>
      <w:r w:rsidR="00B606B4" w:rsidRPr="00B606B4">
        <w:rPr>
          <w:rFonts w:ascii="Arial" w:hAnsi="Arial" w:cs="Arial"/>
          <w:bCs/>
          <w:sz w:val="22"/>
          <w:szCs w:val="22"/>
          <w:lang w:eastAsia="zh-CN"/>
        </w:rPr>
        <w:t>Reply LS on Granularity of the H/S/NA Slot Configurations for the IAB-DU</w:t>
      </w:r>
      <w:r w:rsidRPr="00134173">
        <w:rPr>
          <w:rFonts w:ascii="Arial" w:hAnsi="Arial" w:cs="Arial"/>
          <w:bCs/>
          <w:sz w:val="22"/>
          <w:szCs w:val="22"/>
          <w:lang w:eastAsia="zh-CN"/>
        </w:rPr>
        <w:t xml:space="preserve"> </w:t>
      </w:r>
    </w:p>
    <w:p w14:paraId="44860442" w14:textId="7F89239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B606B4" w:rsidRPr="00B606B4">
        <w:rPr>
          <w:rFonts w:ascii="Arial" w:hAnsi="Arial" w:cs="Arial"/>
          <w:bCs/>
          <w:sz w:val="22"/>
          <w:szCs w:val="22"/>
        </w:rPr>
        <w:t>R3-211359</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2D4D33"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r w:rsidR="00A84F97" w:rsidRPr="00C94728">
        <w:rPr>
          <w:rFonts w:ascii="Arial" w:hAnsi="Arial" w:cs="Arial"/>
          <w:bCs/>
          <w:lang w:eastAsia="zh-CN"/>
        </w:rPr>
        <w:t>NR_</w:t>
      </w:r>
      <w:r w:rsidR="00A84F97">
        <w:rPr>
          <w:rFonts w:ascii="Arial" w:hAnsi="Arial" w:cs="Arial"/>
          <w:bCs/>
          <w:lang w:eastAsia="zh-CN"/>
        </w:rPr>
        <w:t>IAB-Core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654E846A"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RAN1</w:t>
      </w:r>
      <w:r w:rsidRPr="00134173">
        <w:rPr>
          <w:rFonts w:ascii="Arial" w:hAnsi="Arial" w:cs="Arial"/>
          <w:bCs/>
          <w:sz w:val="22"/>
          <w:szCs w:val="22"/>
          <w:lang w:eastAsia="zh-CN"/>
        </w:rPr>
        <w:t>]</w:t>
      </w:r>
    </w:p>
    <w:p w14:paraId="35487786" w14:textId="0B6E4096"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p>
    <w:p w14:paraId="381E11FE" w14:textId="1667619D"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571A7360"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Huan Wang</w:t>
      </w:r>
    </w:p>
    <w:p w14:paraId="5D836D5C" w14:textId="2E4C7317" w:rsidR="004A7114" w:rsidRPr="00134173" w:rsidRDefault="004A7114" w:rsidP="004A7114">
      <w:pPr>
        <w:spacing w:after="60"/>
        <w:ind w:leftChars="50" w:left="120" w:firstLineChars="200" w:firstLine="44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t xml:space="preserve">  </w:t>
      </w:r>
      <w:proofErr w:type="spellStart"/>
      <w:r w:rsidRPr="00134173">
        <w:rPr>
          <w:rFonts w:ascii="Arial" w:hAnsi="Arial" w:cs="Arial"/>
          <w:sz w:val="22"/>
          <w:szCs w:val="22"/>
        </w:rPr>
        <w:t>wanghuan</w:t>
      </w:r>
      <w:proofErr w:type="spellEnd"/>
      <w:r w:rsidRPr="00134173">
        <w:rPr>
          <w:rFonts w:ascii="Arial" w:hAnsi="Arial" w:cs="Arial"/>
          <w:sz w:val="22"/>
          <w:szCs w:val="22"/>
        </w:rPr>
        <w:t xml:space="preserve"> [at] vivo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4AAAE66C" w14:textId="16C1F190" w:rsidR="00092CA9" w:rsidRDefault="004A7114" w:rsidP="002C329D">
      <w:pPr>
        <w:spacing w:before="120" w:line="259" w:lineRule="auto"/>
        <w:jc w:val="both"/>
        <w:rPr>
          <w:rFonts w:ascii="Arial" w:hAnsi="Arial" w:cs="Arial"/>
          <w:bCs/>
          <w:sz w:val="22"/>
          <w:szCs w:val="22"/>
        </w:rPr>
      </w:pPr>
      <w:r w:rsidRPr="00D43AF9">
        <w:rPr>
          <w:rFonts w:ascii="Arial" w:hAnsi="Arial" w:cs="Arial"/>
          <w:bCs/>
          <w:sz w:val="22"/>
          <w:szCs w:val="22"/>
        </w:rPr>
        <w:t>RAN</w:t>
      </w:r>
      <w:r w:rsidRPr="00D43AF9">
        <w:rPr>
          <w:rFonts w:ascii="Arial" w:hAnsi="Arial" w:cs="Arial" w:hint="eastAsia"/>
          <w:bCs/>
          <w:sz w:val="22"/>
          <w:szCs w:val="22"/>
        </w:rPr>
        <w:t>1 thanks RAN</w:t>
      </w:r>
      <w:r w:rsidR="00A84F97" w:rsidRPr="00D43AF9">
        <w:rPr>
          <w:rFonts w:ascii="Arial" w:hAnsi="Arial" w:cs="Arial"/>
          <w:bCs/>
          <w:sz w:val="22"/>
          <w:szCs w:val="22"/>
        </w:rPr>
        <w:t>3</w:t>
      </w:r>
      <w:r w:rsidRPr="00D43AF9">
        <w:rPr>
          <w:rFonts w:ascii="Arial" w:hAnsi="Arial" w:cs="Arial" w:hint="eastAsia"/>
          <w:bCs/>
          <w:sz w:val="22"/>
          <w:szCs w:val="22"/>
        </w:rPr>
        <w:t xml:space="preserve"> for the LS </w:t>
      </w:r>
      <w:r w:rsidR="00B606B4" w:rsidRPr="00B606B4">
        <w:rPr>
          <w:rFonts w:ascii="Arial" w:hAnsi="Arial" w:cs="Arial"/>
          <w:bCs/>
          <w:sz w:val="22"/>
          <w:szCs w:val="22"/>
        </w:rPr>
        <w:t>R3-211359</w:t>
      </w:r>
      <w:r w:rsidRPr="00D43AF9">
        <w:rPr>
          <w:rFonts w:ascii="Arial" w:hAnsi="Arial" w:cs="Arial" w:hint="eastAsia"/>
          <w:bCs/>
          <w:sz w:val="22"/>
          <w:szCs w:val="22"/>
        </w:rPr>
        <w:t xml:space="preserve"> on </w:t>
      </w:r>
      <w:r w:rsidR="00B606B4">
        <w:rPr>
          <w:rFonts w:ascii="Arial" w:hAnsi="Arial" w:cs="Arial"/>
          <w:bCs/>
          <w:sz w:val="22"/>
          <w:szCs w:val="22"/>
        </w:rPr>
        <w:t>g</w:t>
      </w:r>
      <w:r w:rsidR="00B606B4" w:rsidRPr="00B606B4">
        <w:rPr>
          <w:rFonts w:ascii="Arial" w:hAnsi="Arial" w:cs="Arial"/>
          <w:bCs/>
          <w:sz w:val="22"/>
          <w:szCs w:val="22"/>
        </w:rPr>
        <w:t xml:space="preserve">ranularity of the H/S/NA </w:t>
      </w:r>
      <w:r w:rsidR="00B606B4" w:rsidRPr="00B606B4">
        <w:rPr>
          <w:rFonts w:ascii="Arial" w:hAnsi="Arial" w:cs="Arial" w:hint="eastAsia"/>
          <w:bCs/>
          <w:sz w:val="22"/>
          <w:szCs w:val="22"/>
        </w:rPr>
        <w:t>s</w:t>
      </w:r>
      <w:r w:rsidR="00B606B4" w:rsidRPr="00B606B4">
        <w:rPr>
          <w:rFonts w:ascii="Arial" w:hAnsi="Arial" w:cs="Arial"/>
          <w:bCs/>
          <w:sz w:val="22"/>
          <w:szCs w:val="22"/>
        </w:rPr>
        <w:t xml:space="preserve">lot </w:t>
      </w:r>
      <w:r w:rsidR="00B606B4" w:rsidRPr="00B606B4">
        <w:rPr>
          <w:rFonts w:ascii="Arial" w:hAnsi="Arial" w:cs="Arial" w:hint="eastAsia"/>
          <w:bCs/>
          <w:sz w:val="22"/>
          <w:szCs w:val="22"/>
        </w:rPr>
        <w:t>c</w:t>
      </w:r>
      <w:r w:rsidR="00B606B4" w:rsidRPr="00B606B4">
        <w:rPr>
          <w:rFonts w:ascii="Arial" w:hAnsi="Arial" w:cs="Arial"/>
          <w:bCs/>
          <w:sz w:val="22"/>
          <w:szCs w:val="22"/>
        </w:rPr>
        <w:t>onfigurations for the IAB-DU</w:t>
      </w:r>
      <w:r w:rsidRPr="00D43AF9">
        <w:rPr>
          <w:rFonts w:ascii="Arial" w:hAnsi="Arial" w:cs="Arial" w:hint="eastAsia"/>
          <w:bCs/>
          <w:sz w:val="22"/>
          <w:szCs w:val="22"/>
        </w:rPr>
        <w:t xml:space="preserve">. </w:t>
      </w:r>
      <w:r w:rsidR="002C329D">
        <w:rPr>
          <w:rFonts w:ascii="Arial" w:hAnsi="Arial" w:cs="Arial"/>
          <w:bCs/>
          <w:sz w:val="22"/>
          <w:szCs w:val="22"/>
        </w:rPr>
        <w:t xml:space="preserve">Based on RAN1#98bis agreement, CU should </w:t>
      </w:r>
      <w:r w:rsidR="002C329D" w:rsidRPr="002C329D">
        <w:rPr>
          <w:rFonts w:ascii="Arial" w:hAnsi="Arial" w:cs="Arial"/>
          <w:bCs/>
          <w:sz w:val="22"/>
          <w:szCs w:val="22"/>
        </w:rPr>
        <w:t>provide H/S/NA slot configurations per IAB-DU cell</w:t>
      </w:r>
      <w:r w:rsidR="002C329D" w:rsidRPr="002C329D">
        <w:rPr>
          <w:rFonts w:ascii="Arial" w:hAnsi="Arial" w:cs="Arial"/>
          <w:bCs/>
          <w:sz w:val="22"/>
          <w:szCs w:val="22"/>
        </w:rPr>
        <w:t xml:space="preserve"> as specified in </w:t>
      </w:r>
      <w:r w:rsidR="002C329D" w:rsidRPr="002C329D">
        <w:rPr>
          <w:rFonts w:ascii="Arial" w:hAnsi="Arial" w:cs="Arial"/>
          <w:bCs/>
          <w:sz w:val="22"/>
          <w:szCs w:val="22"/>
        </w:rPr>
        <w:t>the HSNA Slot Configuration List IE.</w:t>
      </w:r>
    </w:p>
    <w:p w14:paraId="4CF49742" w14:textId="77777777" w:rsidR="00092CA9" w:rsidRPr="00092CA9" w:rsidRDefault="00092CA9" w:rsidP="002C329D">
      <w:pPr>
        <w:numPr>
          <w:ilvl w:val="0"/>
          <w:numId w:val="46"/>
        </w:numPr>
        <w:jc w:val="both"/>
        <w:rPr>
          <w:rFonts w:ascii="Arial" w:hAnsi="Arial" w:cs="Arial"/>
          <w:bCs/>
          <w:sz w:val="22"/>
          <w:szCs w:val="22"/>
        </w:rPr>
      </w:pPr>
      <w:r w:rsidRPr="00092CA9">
        <w:rPr>
          <w:rFonts w:ascii="Arial" w:hAnsi="Arial" w:cs="Arial"/>
          <w:bCs/>
          <w:sz w:val="22"/>
          <w:szCs w:val="22"/>
        </w:rPr>
        <w:t>From RAN1#98bis: “H/S/NA attributes for the per-cell DU resource configuration are explicitly indicated per-resource type (D/U/F) in each slot.”</w:t>
      </w:r>
    </w:p>
    <w:p w14:paraId="1AFE5105" w14:textId="6E03D008" w:rsidR="00092CA9" w:rsidRDefault="002C329D" w:rsidP="002C329D">
      <w:pPr>
        <w:spacing w:before="120" w:line="259" w:lineRule="auto"/>
        <w:jc w:val="both"/>
        <w:rPr>
          <w:rFonts w:ascii="Arial" w:hAnsi="Arial" w:cs="Arial"/>
          <w:bCs/>
          <w:sz w:val="22"/>
          <w:szCs w:val="22"/>
        </w:rPr>
      </w:pPr>
      <w:r w:rsidRPr="002C329D">
        <w:rPr>
          <w:rFonts w:ascii="Arial" w:hAnsi="Arial" w:cs="Arial"/>
          <w:bCs/>
          <w:sz w:val="22"/>
          <w:szCs w:val="22"/>
        </w:rPr>
        <w:t>Regarding w</w:t>
      </w:r>
      <w:r w:rsidR="00092CA9" w:rsidRPr="002C329D">
        <w:rPr>
          <w:rFonts w:ascii="Arial" w:hAnsi="Arial" w:cs="Arial"/>
          <w:bCs/>
          <w:sz w:val="22"/>
          <w:szCs w:val="22"/>
        </w:rPr>
        <w:t xml:space="preserve">hether </w:t>
      </w:r>
      <w:r w:rsidR="00092CA9" w:rsidRPr="002C329D">
        <w:rPr>
          <w:rFonts w:ascii="Arial" w:hAnsi="Arial" w:cs="Arial"/>
          <w:bCs/>
          <w:sz w:val="22"/>
          <w:szCs w:val="22"/>
        </w:rPr>
        <w:t>CU should provide H/S/NA slot configurations per (IAB-DU cell, collocated IAB-MT’s serving cell) pair</w:t>
      </w:r>
      <w:r w:rsidR="00092CA9" w:rsidRPr="002C329D">
        <w:rPr>
          <w:rFonts w:ascii="Arial" w:hAnsi="Arial" w:cs="Arial"/>
          <w:bCs/>
          <w:sz w:val="22"/>
          <w:szCs w:val="22"/>
        </w:rPr>
        <w:t xml:space="preserve"> or</w:t>
      </w:r>
      <w:r w:rsidR="00092CA9" w:rsidRPr="002C329D">
        <w:rPr>
          <w:rFonts w:ascii="Arial" w:hAnsi="Arial" w:cs="Arial"/>
          <w:bCs/>
          <w:sz w:val="22"/>
          <w:szCs w:val="22"/>
        </w:rPr>
        <w:t xml:space="preserve"> per IAB-DU cell</w:t>
      </w:r>
      <w:r w:rsidR="00092CA9" w:rsidRPr="002C329D">
        <w:rPr>
          <w:rFonts w:ascii="Arial" w:hAnsi="Arial" w:cs="Arial"/>
          <w:bCs/>
          <w:sz w:val="22"/>
          <w:szCs w:val="22"/>
        </w:rPr>
        <w:t xml:space="preserve">. The </w:t>
      </w:r>
      <w:r>
        <w:rPr>
          <w:rFonts w:ascii="Arial" w:hAnsi="Arial" w:cs="Arial"/>
          <w:bCs/>
          <w:sz w:val="22"/>
          <w:szCs w:val="22"/>
        </w:rPr>
        <w:t>quoted</w:t>
      </w:r>
      <w:r w:rsidR="00092CA9" w:rsidRPr="002C329D">
        <w:rPr>
          <w:rFonts w:ascii="Arial" w:hAnsi="Arial" w:cs="Arial"/>
          <w:bCs/>
          <w:sz w:val="22"/>
          <w:szCs w:val="22"/>
        </w:rPr>
        <w:t xml:space="preserve"> RAN1</w:t>
      </w:r>
      <w:r>
        <w:rPr>
          <w:rFonts w:ascii="Arial" w:hAnsi="Arial" w:cs="Arial"/>
          <w:bCs/>
          <w:sz w:val="22"/>
          <w:szCs w:val="22"/>
        </w:rPr>
        <w:t>#98</w:t>
      </w:r>
      <w:r w:rsidR="00092CA9" w:rsidRPr="002C329D">
        <w:rPr>
          <w:rFonts w:ascii="Arial" w:hAnsi="Arial" w:cs="Arial"/>
          <w:bCs/>
          <w:sz w:val="22"/>
          <w:szCs w:val="22"/>
        </w:rPr>
        <w:t xml:space="preserve"> agreement does not explain how CU take</w:t>
      </w:r>
      <w:r>
        <w:rPr>
          <w:rFonts w:ascii="Arial" w:hAnsi="Arial" w:cs="Arial"/>
          <w:bCs/>
          <w:sz w:val="22"/>
          <w:szCs w:val="22"/>
        </w:rPr>
        <w:t>s</w:t>
      </w:r>
      <w:r w:rsidR="00092CA9" w:rsidRPr="002C329D">
        <w:rPr>
          <w:rFonts w:ascii="Arial" w:hAnsi="Arial" w:cs="Arial"/>
          <w:bCs/>
          <w:sz w:val="22"/>
          <w:szCs w:val="22"/>
        </w:rPr>
        <w:t xml:space="preserve"> </w:t>
      </w:r>
      <w:r w:rsidR="00092CA9" w:rsidRPr="00092CA9">
        <w:rPr>
          <w:rFonts w:ascii="Arial" w:hAnsi="Arial" w:cs="Arial"/>
          <w:bCs/>
          <w:sz w:val="22"/>
          <w:szCs w:val="22"/>
        </w:rPr>
        <w:t>into account the associated MT carrier frequency(</w:t>
      </w:r>
      <w:proofErr w:type="spellStart"/>
      <w:r w:rsidR="00092CA9" w:rsidRPr="00092CA9">
        <w:rPr>
          <w:rFonts w:ascii="Arial" w:hAnsi="Arial" w:cs="Arial"/>
          <w:bCs/>
          <w:sz w:val="22"/>
          <w:szCs w:val="22"/>
        </w:rPr>
        <w:t>ies</w:t>
      </w:r>
      <w:proofErr w:type="spellEnd"/>
      <w:r w:rsidR="00092CA9" w:rsidRPr="00092CA9">
        <w:rPr>
          <w:rFonts w:ascii="Arial" w:hAnsi="Arial" w:cs="Arial"/>
          <w:bCs/>
          <w:sz w:val="22"/>
          <w:szCs w:val="22"/>
        </w:rPr>
        <w:t>)</w:t>
      </w:r>
      <w:r>
        <w:rPr>
          <w:rFonts w:ascii="Arial" w:hAnsi="Arial" w:cs="Arial"/>
          <w:bCs/>
          <w:sz w:val="22"/>
          <w:szCs w:val="22"/>
        </w:rPr>
        <w:t xml:space="preserve">, it is RAN1 understanding that it is up to implementation for CU to consider the </w:t>
      </w:r>
      <w:bookmarkStart w:id="0" w:name="_GoBack"/>
      <w:bookmarkEnd w:id="0"/>
      <w:r>
        <w:rPr>
          <w:rFonts w:ascii="Arial" w:hAnsi="Arial" w:cs="Arial"/>
          <w:bCs/>
          <w:sz w:val="22"/>
          <w:szCs w:val="22"/>
        </w:rPr>
        <w:t xml:space="preserve">associated MT carrier frequency when providing </w:t>
      </w:r>
      <w:r w:rsidRPr="002C329D">
        <w:rPr>
          <w:rFonts w:ascii="Arial" w:hAnsi="Arial" w:cs="Arial"/>
          <w:bCs/>
          <w:sz w:val="22"/>
          <w:szCs w:val="22"/>
        </w:rPr>
        <w:t>H/S/NA slot configurations</w:t>
      </w:r>
      <w:r>
        <w:rPr>
          <w:rFonts w:ascii="Arial" w:hAnsi="Arial" w:cs="Arial"/>
          <w:bCs/>
          <w:sz w:val="22"/>
          <w:szCs w:val="22"/>
        </w:rPr>
        <w:t>.</w:t>
      </w:r>
    </w:p>
    <w:p w14:paraId="4EA0EFB3" w14:textId="77777777" w:rsidR="00092CA9" w:rsidRPr="00092CA9" w:rsidRDefault="00092CA9" w:rsidP="002C329D">
      <w:pPr>
        <w:numPr>
          <w:ilvl w:val="0"/>
          <w:numId w:val="46"/>
        </w:numPr>
        <w:jc w:val="both"/>
        <w:rPr>
          <w:rFonts w:ascii="Arial" w:hAnsi="Arial" w:cs="Arial"/>
          <w:bCs/>
          <w:sz w:val="22"/>
          <w:szCs w:val="22"/>
        </w:rPr>
      </w:pPr>
      <w:r w:rsidRPr="00092CA9">
        <w:rPr>
          <w:rFonts w:ascii="Arial" w:hAnsi="Arial" w:cs="Arial"/>
          <w:bCs/>
          <w:sz w:val="22"/>
          <w:szCs w:val="22"/>
        </w:rPr>
        <w:t>From RAN1#98: “The H/S/NA attributes for the per-cell DU resource configuration should take into account the associated MT carrier frequency(</w:t>
      </w:r>
      <w:proofErr w:type="spellStart"/>
      <w:r w:rsidRPr="00092CA9">
        <w:rPr>
          <w:rFonts w:ascii="Arial" w:hAnsi="Arial" w:cs="Arial"/>
          <w:bCs/>
          <w:sz w:val="22"/>
          <w:szCs w:val="22"/>
        </w:rPr>
        <w:t>ies</w:t>
      </w:r>
      <w:proofErr w:type="spellEnd"/>
      <w:r w:rsidRPr="00092CA9">
        <w:rPr>
          <w:rFonts w:ascii="Arial" w:hAnsi="Arial" w:cs="Arial"/>
          <w:bCs/>
          <w:sz w:val="22"/>
          <w:szCs w:val="22"/>
        </w:rPr>
        <w:t>)”</w:t>
      </w:r>
    </w:p>
    <w:p w14:paraId="64D7EE6C" w14:textId="11D9FB20" w:rsidR="00D43AF9" w:rsidRPr="00134173" w:rsidRDefault="004A7114" w:rsidP="002C329D">
      <w:pPr>
        <w:spacing w:before="120" w:line="259" w:lineRule="auto"/>
        <w:jc w:val="both"/>
        <w:rPr>
          <w:rFonts w:ascii="Arial" w:hAnsi="Arial" w:cs="Arial"/>
          <w:b/>
          <w:i/>
          <w:iCs/>
          <w:sz w:val="22"/>
          <w:szCs w:val="22"/>
          <w:lang w:eastAsia="zh-CN"/>
        </w:rPr>
      </w:pPr>
      <w:r w:rsidRPr="00134173">
        <w:rPr>
          <w:rFonts w:ascii="Arial" w:hAnsi="Arial" w:cs="Arial"/>
          <w:b/>
          <w:i/>
          <w:iCs/>
          <w:sz w:val="22"/>
          <w:szCs w:val="22"/>
          <w:lang w:eastAsia="zh-CN"/>
        </w:rPr>
        <w:t xml:space="preserve">RAN1 response: </w:t>
      </w:r>
      <w:r w:rsidR="002C329D">
        <w:rPr>
          <w:rFonts w:ascii="Arial" w:hAnsi="Arial" w:cs="Arial"/>
          <w:b/>
          <w:i/>
          <w:iCs/>
          <w:sz w:val="22"/>
          <w:szCs w:val="22"/>
          <w:lang w:eastAsia="zh-CN"/>
        </w:rPr>
        <w:t xml:space="preserve">RAN1 to confirm that </w:t>
      </w:r>
      <w:r w:rsidR="002C329D" w:rsidRPr="002C329D">
        <w:rPr>
          <w:rFonts w:ascii="Arial" w:hAnsi="Arial" w:cs="Arial"/>
          <w:b/>
          <w:i/>
          <w:iCs/>
          <w:sz w:val="22"/>
          <w:szCs w:val="22"/>
          <w:lang w:eastAsia="zh-CN"/>
        </w:rPr>
        <w:t>CU provide</w:t>
      </w:r>
      <w:r w:rsidR="002C329D" w:rsidRPr="002C329D">
        <w:rPr>
          <w:rFonts w:ascii="Arial" w:hAnsi="Arial" w:cs="Arial"/>
          <w:b/>
          <w:i/>
          <w:iCs/>
          <w:sz w:val="22"/>
          <w:szCs w:val="22"/>
          <w:lang w:eastAsia="zh-CN"/>
        </w:rPr>
        <w:t>s</w:t>
      </w:r>
      <w:r w:rsidR="002C329D" w:rsidRPr="002C329D">
        <w:rPr>
          <w:rFonts w:ascii="Arial" w:hAnsi="Arial" w:cs="Arial"/>
          <w:b/>
          <w:i/>
          <w:iCs/>
          <w:sz w:val="22"/>
          <w:szCs w:val="22"/>
          <w:lang w:eastAsia="zh-CN"/>
        </w:rPr>
        <w:t xml:space="preserve"> H/S/NA slot configurations per IAB-DU cell</w:t>
      </w:r>
      <w:r w:rsidR="002C329D" w:rsidRPr="002C329D">
        <w:rPr>
          <w:rFonts w:ascii="Arial" w:hAnsi="Arial" w:cs="Arial"/>
          <w:b/>
          <w:i/>
          <w:iCs/>
          <w:sz w:val="22"/>
          <w:szCs w:val="22"/>
          <w:lang w:eastAsia="zh-CN"/>
        </w:rPr>
        <w:t>.</w:t>
      </w:r>
      <w:r w:rsidR="002C329D" w:rsidRPr="00D43AF9">
        <w:rPr>
          <w:rFonts w:ascii="Arial" w:hAnsi="Arial" w:cs="Arial"/>
          <w:b/>
          <w:i/>
          <w:iCs/>
          <w:sz w:val="22"/>
          <w:szCs w:val="22"/>
          <w:lang w:eastAsia="zh-CN"/>
        </w:rPr>
        <w:t xml:space="preserve"> </w:t>
      </w:r>
    </w:p>
    <w:p w14:paraId="32AA785D" w14:textId="77777777" w:rsidR="004A7114" w:rsidRPr="00134173" w:rsidRDefault="004A7114" w:rsidP="004A7114">
      <w:pPr>
        <w:pStyle w:val="a9"/>
        <w:tabs>
          <w:tab w:val="left" w:pos="426"/>
          <w:tab w:val="left" w:pos="4678"/>
          <w:tab w:val="left" w:pos="5954"/>
          <w:tab w:val="left" w:pos="7088"/>
        </w:tabs>
        <w:rPr>
          <w:rFonts w:ascii="Arial"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4EC95AD5"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p>
    <w:p w14:paraId="6E7FD6FB" w14:textId="4D1525E6"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 requests RAN</w:t>
      </w:r>
      <w:r w:rsidR="00D43AF9">
        <w:rPr>
          <w:rFonts w:ascii="Arial" w:hAnsi="Arial" w:cs="Arial"/>
          <w:sz w:val="22"/>
          <w:szCs w:val="22"/>
          <w:lang w:eastAsia="zh-CN"/>
        </w:rPr>
        <w:t>3</w:t>
      </w:r>
      <w:r w:rsidRPr="00134173">
        <w:rPr>
          <w:rFonts w:ascii="Arial" w:hAnsi="Arial" w:cs="Arial" w:hint="eastAsia"/>
          <w:sz w:val="22"/>
          <w:szCs w:val="22"/>
        </w:rPr>
        <w:t xml:space="preserve"> to take the above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772FA98F" w14:textId="2D03B716" w:rsidR="00134173" w:rsidRDefault="00134173" w:rsidP="00134173">
      <w:pPr>
        <w:tabs>
          <w:tab w:val="left" w:pos="3430"/>
        </w:tabs>
        <w:overflowPunct w:val="0"/>
        <w:ind w:left="2268" w:hanging="2268"/>
        <w:textAlignment w:val="baseline"/>
        <w:rPr>
          <w:rFonts w:asciiTheme="minorEastAsia" w:eastAsiaTheme="minorEastAsia" w:hAnsiTheme="minorEastAsia" w:cs="Arial"/>
          <w:sz w:val="22"/>
          <w:szCs w:val="22"/>
          <w:lang w:eastAsia="zh-CN"/>
        </w:rPr>
      </w:pPr>
      <w:r w:rsidRPr="00134173">
        <w:rPr>
          <w:rFonts w:ascii="Arial" w:hAnsi="Arial" w:cs="Arial"/>
          <w:sz w:val="22"/>
          <w:szCs w:val="22"/>
          <w:lang w:eastAsia="zh-CN"/>
        </w:rPr>
        <w:t>TSG RAN WG1 Meeting #1</w:t>
      </w:r>
      <w:r w:rsidR="00203BB8">
        <w:rPr>
          <w:rFonts w:ascii="Arial" w:hAnsi="Arial" w:cs="Arial"/>
          <w:sz w:val="22"/>
          <w:szCs w:val="22"/>
          <w:lang w:eastAsia="zh-CN"/>
        </w:rPr>
        <w:t>05</w:t>
      </w:r>
      <w:r w:rsidRPr="00134173">
        <w:rPr>
          <w:rFonts w:ascii="Arial" w:hAnsi="Arial" w:cs="Arial"/>
          <w:sz w:val="22"/>
          <w:szCs w:val="22"/>
          <w:lang w:eastAsia="zh-CN"/>
        </w:rPr>
        <w:t>-</w:t>
      </w:r>
      <w:r w:rsidR="00203BB8">
        <w:rPr>
          <w:rFonts w:ascii="Arial" w:hAnsi="Arial" w:cs="Arial"/>
          <w:sz w:val="22"/>
          <w:szCs w:val="22"/>
          <w:lang w:eastAsia="zh-CN"/>
        </w:rPr>
        <w:t>e</w:t>
      </w:r>
      <w:r>
        <w:rPr>
          <w:rFonts w:ascii="Arial" w:hAnsi="Arial" w:cs="Arial"/>
          <w:sz w:val="22"/>
          <w:szCs w:val="22"/>
          <w:lang w:eastAsia="zh-CN"/>
        </w:rPr>
        <w:tab/>
      </w:r>
      <w:r w:rsidR="00203BB8">
        <w:rPr>
          <w:rFonts w:ascii="Arial" w:hAnsi="Arial" w:cs="Arial"/>
          <w:sz w:val="22"/>
          <w:szCs w:val="22"/>
          <w:lang w:eastAsia="zh-CN"/>
        </w:rPr>
        <w:t>19</w:t>
      </w:r>
      <w:r w:rsidR="00203BB8">
        <w:rPr>
          <w:rFonts w:ascii="Arial" w:hAnsi="Arial" w:cs="Arial"/>
          <w:bCs/>
          <w:sz w:val="22"/>
          <w:szCs w:val="22"/>
          <w:lang w:val="en-GB" w:eastAsia="zh-CN"/>
        </w:rPr>
        <w:t xml:space="preserve"> - 25</w:t>
      </w:r>
      <w:r w:rsidRPr="00134173">
        <w:rPr>
          <w:rFonts w:ascii="Arial" w:hAnsi="Arial" w:cs="Arial"/>
          <w:bCs/>
          <w:sz w:val="22"/>
          <w:szCs w:val="22"/>
          <w:lang w:val="en-GB" w:eastAsia="zh-CN"/>
        </w:rPr>
        <w:t xml:space="preserve"> </w:t>
      </w:r>
      <w:r w:rsidR="00203BB8">
        <w:rPr>
          <w:rFonts w:ascii="Arial" w:hAnsi="Arial" w:cs="Arial"/>
          <w:bCs/>
          <w:sz w:val="22"/>
          <w:szCs w:val="22"/>
          <w:lang w:val="en-GB" w:eastAsia="zh-CN"/>
        </w:rPr>
        <w:t>May</w:t>
      </w:r>
      <w:r w:rsidRPr="00134173">
        <w:rPr>
          <w:rFonts w:ascii="Arial" w:hAnsi="Arial" w:cs="Arial"/>
          <w:bCs/>
          <w:sz w:val="22"/>
          <w:szCs w:val="22"/>
          <w:lang w:val="en-GB" w:eastAsia="zh-CN"/>
        </w:rPr>
        <w:t xml:space="preserve"> 202</w:t>
      </w:r>
      <w:r w:rsidR="00203BB8">
        <w:rPr>
          <w:rFonts w:ascii="Arial" w:hAnsi="Arial" w:cs="Arial"/>
          <w:bCs/>
          <w:sz w:val="22"/>
          <w:szCs w:val="22"/>
          <w:lang w:val="en-GB" w:eastAsia="zh-CN"/>
        </w:rPr>
        <w:t>1</w:t>
      </w:r>
      <w:r>
        <w:rPr>
          <w:rFonts w:ascii="Arial" w:hAnsi="Arial" w:cs="Arial"/>
          <w:bCs/>
          <w:sz w:val="22"/>
          <w:szCs w:val="22"/>
          <w:lang w:val="en-GB" w:eastAsia="zh-CN"/>
        </w:rPr>
        <w:tab/>
      </w:r>
      <w:r w:rsidR="00203BB8" w:rsidRPr="00203BB8">
        <w:rPr>
          <w:rFonts w:ascii="Arial" w:hAnsi="Arial" w:cs="Arial"/>
          <w:sz w:val="22"/>
          <w:szCs w:val="22"/>
          <w:lang w:eastAsia="zh-CN"/>
        </w:rPr>
        <w:t>e-meeting</w:t>
      </w:r>
    </w:p>
    <w:p w14:paraId="029382F0" w14:textId="77777777" w:rsidR="00B606B4" w:rsidRPr="00B606B4" w:rsidRDefault="00B606B4" w:rsidP="00134173">
      <w:pPr>
        <w:tabs>
          <w:tab w:val="left" w:pos="3430"/>
        </w:tabs>
        <w:overflowPunct w:val="0"/>
        <w:ind w:left="2268" w:hanging="2268"/>
        <w:textAlignment w:val="baseline"/>
        <w:rPr>
          <w:rFonts w:ascii="Arial" w:hAnsi="Arial" w:cs="Arial" w:hint="eastAsia"/>
          <w:sz w:val="22"/>
          <w:szCs w:val="22"/>
          <w:lang w:eastAsia="zh-CN"/>
        </w:rPr>
      </w:pP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0DF15" w14:textId="77777777" w:rsidR="00746DD9" w:rsidRDefault="00746DD9">
      <w:r>
        <w:separator/>
      </w:r>
    </w:p>
  </w:endnote>
  <w:endnote w:type="continuationSeparator" w:id="0">
    <w:p w14:paraId="2C71A130" w14:textId="77777777" w:rsidR="00746DD9" w:rsidRDefault="00746DD9">
      <w:r>
        <w:continuationSeparator/>
      </w:r>
    </w:p>
  </w:endnote>
  <w:endnote w:type="continuationNotice" w:id="1">
    <w:p w14:paraId="52BFA158" w14:textId="77777777" w:rsidR="00746DD9" w:rsidRDefault="00746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23D4C10F"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2C329D">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2C329D">
      <w:rPr>
        <w:rStyle w:val="af0"/>
        <w:noProof/>
      </w:rPr>
      <w:t>1</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EABA3" w14:textId="77777777" w:rsidR="00746DD9" w:rsidRDefault="00746DD9">
      <w:r>
        <w:separator/>
      </w:r>
    </w:p>
  </w:footnote>
  <w:footnote w:type="continuationSeparator" w:id="0">
    <w:p w14:paraId="4FA2258C" w14:textId="77777777" w:rsidR="00746DD9" w:rsidRDefault="00746DD9">
      <w:r>
        <w:continuationSeparator/>
      </w:r>
    </w:p>
  </w:footnote>
  <w:footnote w:type="continuationNotice" w:id="1">
    <w:p w14:paraId="527B5658" w14:textId="77777777" w:rsidR="00746DD9" w:rsidRDefault="00746DD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0"/>
  </w:num>
  <w:num w:numId="3">
    <w:abstractNumId w:val="43"/>
  </w:num>
  <w:num w:numId="4">
    <w:abstractNumId w:val="4"/>
  </w:num>
  <w:num w:numId="5">
    <w:abstractNumId w:val="37"/>
  </w:num>
  <w:num w:numId="6">
    <w:abstractNumId w:val="15"/>
  </w:num>
  <w:num w:numId="7">
    <w:abstractNumId w:val="33"/>
  </w:num>
  <w:num w:numId="8">
    <w:abstractNumId w:val="1"/>
  </w:num>
  <w:num w:numId="9">
    <w:abstractNumId w:val="12"/>
  </w:num>
  <w:num w:numId="10">
    <w:abstractNumId w:val="31"/>
  </w:num>
  <w:num w:numId="11">
    <w:abstractNumId w:val="16"/>
  </w:num>
  <w:num w:numId="12">
    <w:abstractNumId w:val="26"/>
  </w:num>
  <w:num w:numId="13">
    <w:abstractNumId w:val="21"/>
  </w:num>
  <w:num w:numId="14">
    <w:abstractNumId w:val="28"/>
  </w:num>
  <w:num w:numId="15">
    <w:abstractNumId w:val="20"/>
  </w:num>
  <w:num w:numId="16">
    <w:abstractNumId w:val="40"/>
  </w:num>
  <w:num w:numId="17">
    <w:abstractNumId w:val="5"/>
  </w:num>
  <w:num w:numId="18">
    <w:abstractNumId w:val="7"/>
  </w:num>
  <w:num w:numId="19">
    <w:abstractNumId w:val="41"/>
  </w:num>
  <w:num w:numId="20">
    <w:abstractNumId w:val="8"/>
  </w:num>
  <w:num w:numId="21">
    <w:abstractNumId w:val="18"/>
  </w:num>
  <w:num w:numId="22">
    <w:abstractNumId w:val="32"/>
  </w:num>
  <w:num w:numId="23">
    <w:abstractNumId w:val="22"/>
  </w:num>
  <w:num w:numId="24">
    <w:abstractNumId w:val="10"/>
  </w:num>
  <w:num w:numId="25">
    <w:abstractNumId w:val="38"/>
  </w:num>
  <w:num w:numId="26">
    <w:abstractNumId w:val="30"/>
  </w:num>
  <w:num w:numId="27">
    <w:abstractNumId w:val="23"/>
  </w:num>
  <w:num w:numId="28">
    <w:abstractNumId w:val="34"/>
  </w:num>
  <w:num w:numId="29">
    <w:abstractNumId w:val="24"/>
  </w:num>
  <w:num w:numId="30">
    <w:abstractNumId w:val="36"/>
  </w:num>
  <w:num w:numId="31">
    <w:abstractNumId w:val="42"/>
  </w:num>
  <w:num w:numId="32">
    <w:abstractNumId w:val="11"/>
  </w:num>
  <w:num w:numId="33">
    <w:abstractNumId w:val="3"/>
  </w:num>
  <w:num w:numId="34">
    <w:abstractNumId w:val="6"/>
  </w:num>
  <w:num w:numId="35">
    <w:abstractNumId w:val="25"/>
  </w:num>
  <w:num w:numId="36">
    <w:abstractNumId w:val="2"/>
  </w:num>
  <w:num w:numId="37">
    <w:abstractNumId w:val="14"/>
  </w:num>
  <w:num w:numId="38">
    <w:abstractNumId w:val="39"/>
  </w:num>
  <w:num w:numId="39">
    <w:abstractNumId w:val="35"/>
  </w:num>
  <w:num w:numId="40">
    <w:abstractNumId w:val="35"/>
  </w:num>
  <w:num w:numId="41">
    <w:abstractNumId w:val="27"/>
  </w:num>
  <w:num w:numId="42">
    <w:abstractNumId w:val="13"/>
  </w:num>
  <w:num w:numId="43">
    <w:abstractNumId w:val="19"/>
  </w:num>
  <w:num w:numId="44">
    <w:abstractNumId w:val="17"/>
  </w:num>
  <w:num w:numId="45">
    <w:abstractNumId w:val="9"/>
  </w:num>
  <w:num w:numId="46">
    <w:abstractNumId w:val="29"/>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2CA9"/>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4DC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0608"/>
    <w:rsid w:val="00901E67"/>
    <w:rsid w:val="00902476"/>
    <w:rsid w:val="0090273E"/>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a"/>
    <w:uiPriority w:val="99"/>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89D81-6740-457A-9440-BED5BF52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241</Words>
  <Characters>1375</Characters>
  <Application>Microsoft Office Word</Application>
  <DocSecurity>0</DocSecurity>
  <Lines>11</Lines>
  <Paragraphs>3</Paragraphs>
  <ScaleCrop>false</ScaleCrop>
  <Company>vivo mobile communication co.</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73</cp:revision>
  <cp:lastPrinted>2008-12-09T03:19:00Z</cp:lastPrinted>
  <dcterms:created xsi:type="dcterms:W3CDTF">2020-02-12T14:01:00Z</dcterms:created>
  <dcterms:modified xsi:type="dcterms:W3CDTF">2021-04-05T03:30:00Z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